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02">
      <w:pPr>
        <w:jc w:val="center"/>
        <w:rPr>
          <w:rFonts w:ascii="Libre Franklin" w:cs="Libre Franklin" w:eastAsia="Libre Franklin" w:hAnsi="Libre Franklin"/>
          <w:b w:val="1"/>
          <w:sz w:val="24"/>
          <w:szCs w:val="24"/>
        </w:rPr>
      </w:pPr>
      <w:r w:rsidDel="00000000" w:rsidR="00000000" w:rsidRPr="00000000">
        <w:rPr>
          <w:rFonts w:ascii="Libre Franklin" w:cs="Libre Franklin" w:eastAsia="Libre Franklin" w:hAnsi="Libre Franklin"/>
          <w:sz w:val="24"/>
          <w:szCs w:val="24"/>
        </w:rPr>
        <w:drawing>
          <wp:inline distB="114300" distT="114300" distL="114300" distR="114300">
            <wp:extent cx="1025033" cy="1321752"/>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25033" cy="1321752"/>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SEND one-page document </w:t>
      </w:r>
    </w:p>
    <w:p w:rsidR="00000000" w:rsidDel="00000000" w:rsidP="00000000" w:rsidRDefault="00000000" w:rsidRPr="00000000" w14:paraId="00000004">
      <w:pPr>
        <w:jc w:val="center"/>
        <w:rPr>
          <w:rFonts w:ascii="Libre Franklin" w:cs="Libre Franklin" w:eastAsia="Libre Franklin" w:hAnsi="Libre Franklin"/>
          <w:sz w:val="24"/>
          <w:szCs w:val="24"/>
        </w:rPr>
      </w:pPr>
      <w:r w:rsidDel="00000000" w:rsidR="00000000" w:rsidRPr="00000000">
        <w:rPr>
          <w:rtl w:val="0"/>
        </w:rPr>
      </w:r>
    </w:p>
    <w:tbl>
      <w:tblPr>
        <w:tblStyle w:val="Table1"/>
        <w:tblW w:w="11175.0" w:type="dxa"/>
        <w:jc w:val="left"/>
        <w:tblInd w:w="-11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75"/>
        <w:tblGridChange w:id="0">
          <w:tblGrid>
            <w:gridCol w:w="11175"/>
          </w:tblGrid>
        </w:tblGridChange>
      </w:tblGrid>
      <w:tr>
        <w:trPr>
          <w:cantSplit w:val="0"/>
          <w:trHeight w:val="3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b w:val="1"/>
                <w:sz w:val="20"/>
                <w:szCs w:val="20"/>
                <w:u w:val="single"/>
              </w:rPr>
            </w:pPr>
            <w:r w:rsidDel="00000000" w:rsidR="00000000" w:rsidRPr="00000000">
              <w:rPr>
                <w:rFonts w:ascii="Libre Franklin" w:cs="Libre Franklin" w:eastAsia="Libre Franklin" w:hAnsi="Libre Franklin"/>
                <w:b w:val="1"/>
                <w:sz w:val="20"/>
                <w:szCs w:val="20"/>
                <w:u w:val="single"/>
                <w:rtl w:val="0"/>
              </w:rPr>
              <w:t xml:space="preserve">Intent</w:t>
            </w:r>
          </w:p>
          <w:p w:rsidR="00000000" w:rsidDel="00000000" w:rsidP="00000000" w:rsidRDefault="00000000" w:rsidRPr="00000000" w14:paraId="00000006">
            <w:pPr>
              <w:widowControl w:val="0"/>
              <w:spacing w:before="200" w:line="216" w:lineRule="auto"/>
              <w:rPr>
                <w:rFonts w:ascii="Libre Franklin" w:cs="Libre Franklin" w:eastAsia="Libre Franklin" w:hAnsi="Libre Franklin"/>
                <w:i w:val="1"/>
                <w:sz w:val="20"/>
                <w:szCs w:val="20"/>
              </w:rPr>
            </w:pPr>
            <w:r w:rsidDel="00000000" w:rsidR="00000000" w:rsidRPr="00000000">
              <w:rPr>
                <w:rFonts w:ascii="Libre Franklin" w:cs="Libre Franklin" w:eastAsia="Libre Franklin" w:hAnsi="Libre Franklin"/>
                <w:b w:val="1"/>
                <w:i w:val="1"/>
                <w:sz w:val="20"/>
                <w:szCs w:val="20"/>
                <w:rtl w:val="0"/>
              </w:rPr>
              <w:t xml:space="preserve">The Millbay Inclusion vision:</w:t>
            </w:r>
            <w:r w:rsidDel="00000000" w:rsidR="00000000" w:rsidRPr="00000000">
              <w:rPr>
                <w:rFonts w:ascii="Libre Franklin" w:cs="Libre Franklin" w:eastAsia="Libre Franklin" w:hAnsi="Libre Franklin"/>
                <w:i w:val="1"/>
                <w:sz w:val="20"/>
                <w:szCs w:val="20"/>
                <w:rtl w:val="0"/>
              </w:rPr>
              <w:t xml:space="preserve"> To ensure that all learners, of any age, receive meaningful high-quality teaching and learning alongside their friends and peers.</w:t>
            </w:r>
          </w:p>
          <w:p w:rsidR="00000000" w:rsidDel="00000000" w:rsidP="00000000" w:rsidRDefault="00000000" w:rsidRPr="00000000" w14:paraId="00000007">
            <w:pPr>
              <w:widowControl w:val="0"/>
              <w:spacing w:before="200" w:line="216" w:lineRule="auto"/>
              <w:rPr>
                <w:rFonts w:ascii="Libre Franklin" w:cs="Libre Franklin" w:eastAsia="Libre Franklin" w:hAnsi="Libre Franklin"/>
                <w:i w:val="1"/>
                <w:sz w:val="20"/>
                <w:szCs w:val="2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The intent of SEND provision at Millbay Academy is linked to our core values.; </w:t>
            </w:r>
            <w:r w:rsidDel="00000000" w:rsidR="00000000" w:rsidRPr="00000000">
              <w:rPr>
                <w:rFonts w:ascii="Libre Franklin" w:cs="Libre Franklin" w:eastAsia="Libre Franklin" w:hAnsi="Libre Franklin"/>
                <w:sz w:val="21"/>
                <w:szCs w:val="21"/>
                <w:rtl w:val="0"/>
              </w:rPr>
              <w:t xml:space="preserve">Courage, Curiosity, Creativity, Respect and Resilience</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At Millbay Academy, our intention for Special Educational Needs and/or Disabilities (SEND) is to ensure that all children receive a high-quality and ambitious education regardless of need or disability. We believe that it is vital that our pupils are equipped with the tools needed to become independent, curious and creative  learners both in and out of the classroom.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Through our high quality planning, teaching and provision we: </w:t>
            </w:r>
          </w:p>
          <w:p w:rsidR="00000000" w:rsidDel="00000000" w:rsidP="00000000" w:rsidRDefault="00000000" w:rsidRPr="00000000" w14:paraId="0000000C">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Pride ourselves on intervention for SEND to ensure that progress and opportunities to achieve are maximised. </w:t>
            </w:r>
          </w:p>
          <w:p w:rsidR="00000000" w:rsidDel="00000000" w:rsidP="00000000" w:rsidRDefault="00000000" w:rsidRPr="00000000" w14:paraId="0000000D">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Ensure that all children have access to a broad and balanced curriculum which is adapted to enable children to be active participants in their learning. </w:t>
            </w:r>
          </w:p>
          <w:p w:rsidR="00000000" w:rsidDel="00000000" w:rsidP="00000000" w:rsidRDefault="00000000" w:rsidRPr="00000000" w14:paraId="0000000E">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Regularly monitor the progress of children with SEND, using a child-centred approach, valuing and respecting student voice . </w:t>
            </w:r>
          </w:p>
          <w:p w:rsidR="00000000" w:rsidDel="00000000" w:rsidP="00000000" w:rsidRDefault="00000000" w:rsidRPr="00000000" w14:paraId="0000000F">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Provide good quality and relevant training  for all staff members supporting children with SEND. </w:t>
            </w:r>
          </w:p>
          <w:p w:rsidR="00000000" w:rsidDel="00000000" w:rsidP="00000000" w:rsidRDefault="00000000" w:rsidRPr="00000000" w14:paraId="00000010">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Work in partnership with parents and carers. </w:t>
            </w:r>
          </w:p>
          <w:p w:rsidR="00000000" w:rsidDel="00000000" w:rsidP="00000000" w:rsidRDefault="00000000" w:rsidRPr="00000000" w14:paraId="00000011">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Work closely with external agencies and other professionals to hone and develop our provision for children with SEND. </w:t>
            </w:r>
          </w:p>
          <w:p w:rsidR="00000000" w:rsidDel="00000000" w:rsidP="00000000" w:rsidRDefault="00000000" w:rsidRPr="00000000" w14:paraId="00000012">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Ensure that students enjoy their education and time at school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b w:val="1"/>
                <w:sz w:val="20"/>
                <w:szCs w:val="20"/>
                <w:u w:val="single"/>
              </w:rPr>
            </w:pPr>
            <w:r w:rsidDel="00000000" w:rsidR="00000000" w:rsidRPr="00000000">
              <w:rPr>
                <w:rFonts w:ascii="Libre Franklin" w:cs="Libre Franklin" w:eastAsia="Libre Franklin" w:hAnsi="Libre Franklin"/>
                <w:b w:val="1"/>
                <w:sz w:val="20"/>
                <w:szCs w:val="20"/>
                <w:u w:val="single"/>
                <w:rtl w:val="0"/>
              </w:rPr>
              <w:t xml:space="preserve">Implementation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b w:val="1"/>
                <w:sz w:val="20"/>
                <w:szCs w:val="20"/>
                <w:u w:val="single"/>
              </w:rPr>
            </w:pPr>
            <w:r w:rsidDel="00000000" w:rsidR="00000000" w:rsidRPr="00000000">
              <w:rPr>
                <w:rtl w:val="0"/>
              </w:rPr>
            </w:r>
          </w:p>
          <w:p w:rsidR="00000000" w:rsidDel="00000000" w:rsidP="00000000" w:rsidRDefault="00000000" w:rsidRPr="00000000" w14:paraId="00000015">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At Millbay Academy, every teacher is a teacher of SEND. As such, inclusion is a thread that runs through every area of the school enhanced by collaboration between senior leaders, teachers, support staff, external agencies, parents and most importantly, the child. The dedicated SEND department consists of the SENCO (training), EAL lead, 3  HLTAs and student support workers. </w:t>
            </w:r>
          </w:p>
          <w:p w:rsidR="00000000" w:rsidDel="00000000" w:rsidP="00000000" w:rsidRDefault="00000000" w:rsidRPr="00000000" w14:paraId="00000016">
            <w:pPr>
              <w:widowControl w:val="0"/>
              <w:spacing w:line="24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7">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At Millbay Academy, pupils with SEND are: </w:t>
            </w:r>
          </w:p>
          <w:p w:rsidR="00000000" w:rsidDel="00000000" w:rsidP="00000000" w:rsidRDefault="00000000" w:rsidRPr="00000000" w14:paraId="00000018">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Included in all aspects of the school day. </w:t>
            </w:r>
          </w:p>
          <w:p w:rsidR="00000000" w:rsidDel="00000000" w:rsidP="00000000" w:rsidRDefault="00000000" w:rsidRPr="00000000" w14:paraId="00000019">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Provided with quality first teaching, adapted to their needs.</w:t>
            </w:r>
          </w:p>
          <w:p w:rsidR="00000000" w:rsidDel="00000000" w:rsidP="00000000" w:rsidRDefault="00000000" w:rsidRPr="00000000" w14:paraId="0000001A">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Respected and their contributions valued and acknowledged. </w:t>
            </w:r>
          </w:p>
          <w:p w:rsidR="00000000" w:rsidDel="00000000" w:rsidP="00000000" w:rsidRDefault="00000000" w:rsidRPr="00000000" w14:paraId="0000001B">
            <w:pPr>
              <w:widowControl w:val="0"/>
              <w:spacing w:line="24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1C">
            <w:pPr>
              <w:widowControl w:val="0"/>
              <w:spacing w:line="240" w:lineRule="auto"/>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Support</w:t>
            </w:r>
          </w:p>
          <w:p w:rsidR="00000000" w:rsidDel="00000000" w:rsidP="00000000" w:rsidRDefault="00000000" w:rsidRPr="00000000" w14:paraId="0000001D">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At Millbay Academy, pupils with SEND may: </w:t>
            </w:r>
          </w:p>
          <w:p w:rsidR="00000000" w:rsidDel="00000000" w:rsidP="00000000" w:rsidRDefault="00000000" w:rsidRPr="00000000" w14:paraId="0000001E">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Have specific 1:1 or small group intervention to support their literacy, numeracy, phonics, comprehension, handwriting and general access to  learning. </w:t>
            </w:r>
          </w:p>
          <w:p w:rsidR="00000000" w:rsidDel="00000000" w:rsidP="00000000" w:rsidRDefault="00000000" w:rsidRPr="00000000" w14:paraId="0000001F">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Take part in social and emotional support interventions such as Zones of Regulation, Lego Therapy, Music/drama/art therapy,  social stories  and ELSA. </w:t>
            </w:r>
          </w:p>
          <w:p w:rsidR="00000000" w:rsidDel="00000000" w:rsidP="00000000" w:rsidRDefault="00000000" w:rsidRPr="00000000" w14:paraId="00000020">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Have additional support from an HLTA or student support worker regarding sense of self. </w:t>
            </w:r>
          </w:p>
          <w:p w:rsidR="00000000" w:rsidDel="00000000" w:rsidP="00000000" w:rsidRDefault="00000000" w:rsidRPr="00000000" w14:paraId="00000021">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Receive additional support with their speech and language development from a speech and language therapist. </w:t>
            </w:r>
          </w:p>
          <w:p w:rsidR="00000000" w:rsidDel="00000000" w:rsidP="00000000" w:rsidRDefault="00000000" w:rsidRPr="00000000" w14:paraId="00000022">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Carry out sensory breaks in our dedicated sensory room, or through physical activity.</w:t>
            </w:r>
          </w:p>
          <w:p w:rsidR="00000000" w:rsidDel="00000000" w:rsidP="00000000" w:rsidRDefault="00000000" w:rsidRPr="00000000" w14:paraId="00000023">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Attend lessons which are supported by an SSW (1:1 or small group)  allowing children extra time for pre-teaching, confidence building,  securing new skills, ensuring full  access curriculum, and coaching students in self help strategies in the classroom . </w:t>
            </w:r>
          </w:p>
          <w:p w:rsidR="00000000" w:rsidDel="00000000" w:rsidP="00000000" w:rsidRDefault="00000000" w:rsidRPr="00000000" w14:paraId="00000024">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Work alongside external agencies such as an Educational Psychologist, Speech and Language Therapist, to develop specific targets/programmes tailored to the child’s individual needs. </w:t>
            </w:r>
          </w:p>
          <w:p w:rsidR="00000000" w:rsidDel="00000000" w:rsidP="00000000" w:rsidRDefault="00000000" w:rsidRPr="00000000" w14:paraId="00000025">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Have a dedicated link tutor /SSW/member of the SEND department who will support them in creating a pen portrait (with pupil and parent voice included)</w:t>
            </w:r>
          </w:p>
          <w:p w:rsidR="00000000" w:rsidDel="00000000" w:rsidP="00000000" w:rsidRDefault="00000000" w:rsidRPr="00000000" w14:paraId="00000026">
            <w:pPr>
              <w:widowControl w:val="0"/>
              <w:numPr>
                <w:ilvl w:val="0"/>
                <w:numId w:val="2"/>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Access bespoke alternative curriculum  pathways (BTECs, Functional Skills Maths, Functional Skills English)</w:t>
            </w:r>
          </w:p>
          <w:p w:rsidR="00000000" w:rsidDel="00000000" w:rsidP="00000000" w:rsidRDefault="00000000" w:rsidRPr="00000000" w14:paraId="00000027">
            <w:pPr>
              <w:widowControl w:val="0"/>
              <w:spacing w:line="24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8">
            <w:pPr>
              <w:widowControl w:val="0"/>
              <w:spacing w:line="240" w:lineRule="auto"/>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Outreach and development:</w:t>
            </w:r>
          </w:p>
          <w:p w:rsidR="00000000" w:rsidDel="00000000" w:rsidP="00000000" w:rsidRDefault="00000000" w:rsidRPr="00000000" w14:paraId="00000029">
            <w:pPr>
              <w:widowControl w:val="0"/>
              <w:numPr>
                <w:ilvl w:val="0"/>
                <w:numId w:val="3"/>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SENDCO attends half termly SEND forum within the borough and has links with local primary and secondary schools. These links have led to secure transition from primary to secondary school and we are considering how we tailor a specific transition programme for our incoming students with SEND.</w:t>
            </w:r>
          </w:p>
          <w:p w:rsidR="00000000" w:rsidDel="00000000" w:rsidP="00000000" w:rsidRDefault="00000000" w:rsidRPr="00000000" w14:paraId="0000002A">
            <w:pPr>
              <w:widowControl w:val="0"/>
              <w:numPr>
                <w:ilvl w:val="0"/>
                <w:numId w:val="3"/>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Reach South SEND improvement  group with focus on understanding the needs of our students and Inclusion within The Trust</w:t>
            </w:r>
          </w:p>
          <w:p w:rsidR="00000000" w:rsidDel="00000000" w:rsidP="00000000" w:rsidRDefault="00000000" w:rsidRPr="00000000" w14:paraId="0000002B">
            <w:pPr>
              <w:widowControl w:val="0"/>
              <w:numPr>
                <w:ilvl w:val="0"/>
                <w:numId w:val="3"/>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Future visits are planned with Trust Schools focusing on methods of supporting low level learnings in the mainstream classroom and supporting the set up of similar specialist nurture provision  we have here at Millbay.</w:t>
            </w:r>
          </w:p>
          <w:p w:rsidR="00000000" w:rsidDel="00000000" w:rsidP="00000000" w:rsidRDefault="00000000" w:rsidRPr="00000000" w14:paraId="0000002C">
            <w:pPr>
              <w:widowControl w:val="0"/>
              <w:numPr>
                <w:ilvl w:val="0"/>
                <w:numId w:val="3"/>
              </w:numPr>
              <w:spacing w:line="240" w:lineRule="auto"/>
              <w:ind w:left="720" w:hanging="360"/>
              <w:rPr>
                <w:rFonts w:ascii="Libre Franklin" w:cs="Libre Franklin" w:eastAsia="Libre Franklin" w:hAnsi="Libre Franklin"/>
                <w:sz w:val="20"/>
                <w:szCs w:val="20"/>
                <w:u w:val="none"/>
              </w:rPr>
            </w:pPr>
            <w:r w:rsidDel="00000000" w:rsidR="00000000" w:rsidRPr="00000000">
              <w:rPr>
                <w:rFonts w:ascii="Libre Franklin" w:cs="Libre Franklin" w:eastAsia="Libre Franklin" w:hAnsi="Libre Franklin"/>
                <w:sz w:val="20"/>
                <w:szCs w:val="20"/>
                <w:rtl w:val="0"/>
              </w:rPr>
              <w:t xml:space="preserve">SENDCo commenced NASENCO qualification in September 2023.</w:t>
            </w:r>
          </w:p>
          <w:p w:rsidR="00000000" w:rsidDel="00000000" w:rsidP="00000000" w:rsidRDefault="00000000" w:rsidRPr="00000000" w14:paraId="0000002D">
            <w:pPr>
              <w:widowControl w:val="0"/>
              <w:spacing w:line="24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E">
            <w:pPr>
              <w:widowControl w:val="0"/>
              <w:spacing w:line="240" w:lineRule="auto"/>
              <w:rPr>
                <w:rFonts w:ascii="Libre Franklin" w:cs="Libre Franklin" w:eastAsia="Libre Franklin" w:hAnsi="Libre Franklin"/>
                <w:b w:val="1"/>
                <w:sz w:val="20"/>
                <w:szCs w:val="20"/>
              </w:rPr>
            </w:pPr>
            <w:r w:rsidDel="00000000" w:rsidR="00000000" w:rsidRPr="00000000">
              <w:rPr>
                <w:rFonts w:ascii="Libre Franklin" w:cs="Libre Franklin" w:eastAsia="Libre Franklin" w:hAnsi="Libre Franklin"/>
                <w:b w:val="1"/>
                <w:sz w:val="20"/>
                <w:szCs w:val="20"/>
                <w:rtl w:val="0"/>
              </w:rPr>
              <w:t xml:space="preserve">Links</w:t>
            </w:r>
          </w:p>
          <w:p w:rsidR="00000000" w:rsidDel="00000000" w:rsidP="00000000" w:rsidRDefault="00000000" w:rsidRPr="00000000" w14:paraId="0000002F">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Inclusion Platform</w:t>
            </w:r>
            <w:r w:rsidDel="00000000" w:rsidR="00000000" w:rsidRPr="00000000">
              <w:rPr>
                <w:rFonts w:ascii="Libre Franklin" w:cs="Libre Franklin" w:eastAsia="Libre Franklin" w:hAnsi="Libre Franklin"/>
                <w:b w:val="1"/>
                <w:sz w:val="20"/>
                <w:szCs w:val="20"/>
                <w:rtl w:val="0"/>
              </w:rPr>
              <w:t xml:space="preserve"> </w:t>
            </w:r>
            <w:hyperlink r:id="rId8">
              <w:r w:rsidDel="00000000" w:rsidR="00000000" w:rsidRPr="00000000">
                <w:rPr>
                  <w:rFonts w:ascii="Libre Franklin" w:cs="Libre Franklin" w:eastAsia="Libre Franklin" w:hAnsi="Libre Franklin"/>
                  <w:b w:val="1"/>
                  <w:color w:val="1155cc"/>
                  <w:sz w:val="20"/>
                  <w:szCs w:val="20"/>
                  <w:u w:val="single"/>
                  <w:rtl w:val="0"/>
                </w:rPr>
                <w:t xml:space="preserve">https://sites.google.com/millbayacademy.org/inclusionplatform/home</w:t>
              </w:r>
            </w:hyperlink>
            <w:r w:rsidDel="00000000" w:rsidR="00000000" w:rsidRPr="00000000">
              <w:rPr>
                <w:rtl w:val="0"/>
              </w:rPr>
            </w:r>
          </w:p>
          <w:p w:rsidR="00000000" w:rsidDel="00000000" w:rsidP="00000000" w:rsidRDefault="00000000" w:rsidRPr="00000000" w14:paraId="00000030">
            <w:pPr>
              <w:widowControl w:val="0"/>
              <w:spacing w:line="24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Link to Padlet </w:t>
            </w:r>
            <w:hyperlink r:id="rId9">
              <w:r w:rsidDel="00000000" w:rsidR="00000000" w:rsidRPr="00000000">
                <w:rPr>
                  <w:rFonts w:ascii="Libre Franklin" w:cs="Libre Franklin" w:eastAsia="Libre Franklin" w:hAnsi="Libre Franklin"/>
                  <w:color w:val="1155cc"/>
                  <w:sz w:val="20"/>
                  <w:szCs w:val="20"/>
                  <w:u w:val="single"/>
                  <w:rtl w:val="0"/>
                </w:rPr>
                <w:t xml:space="preserve">https://padlet.com/millbayacademy/welcome-to-the-send-padlet-8zcn210uk8qls139</w:t>
              </w:r>
            </w:hyperlink>
            <w:r w:rsidDel="00000000" w:rsidR="00000000" w:rsidRPr="00000000">
              <w:rPr>
                <w:rtl w:val="0"/>
              </w:rPr>
            </w:r>
          </w:p>
          <w:p w:rsidR="00000000" w:rsidDel="00000000" w:rsidP="00000000" w:rsidRDefault="00000000" w:rsidRPr="00000000" w14:paraId="00000031">
            <w:pPr>
              <w:widowControl w:val="0"/>
              <w:spacing w:line="24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2">
            <w:pPr>
              <w:widowControl w:val="0"/>
              <w:spacing w:line="240" w:lineRule="auto"/>
              <w:rPr>
                <w:rFonts w:ascii="Libre Franklin" w:cs="Libre Franklin" w:eastAsia="Libre Franklin" w:hAnsi="Libre Franklin"/>
                <w:sz w:val="20"/>
                <w:szCs w:val="20"/>
              </w:rPr>
            </w:pPr>
            <w:hyperlink r:id="rId10">
              <w:r w:rsidDel="00000000" w:rsidR="00000000" w:rsidRPr="00000000">
                <w:rPr>
                  <w:color w:val="0000ee"/>
                  <w:u w:val="single"/>
                  <w:shd w:fill="auto" w:val="clear"/>
                  <w:rtl w:val="0"/>
                </w:rPr>
                <w:t xml:space="preserve">Drive</w:t>
              </w:r>
            </w:hyperlink>
            <w:r w:rsidDel="00000000" w:rsidR="00000000" w:rsidRPr="00000000">
              <w:rPr>
                <w:rtl w:val="0"/>
              </w:rPr>
            </w:r>
          </w:p>
          <w:p w:rsidR="00000000" w:rsidDel="00000000" w:rsidP="00000000" w:rsidRDefault="00000000" w:rsidRPr="00000000" w14:paraId="00000033">
            <w:pPr>
              <w:widowControl w:val="0"/>
              <w:spacing w:line="240" w:lineRule="auto"/>
              <w:rPr>
                <w:rFonts w:ascii="Libre Franklin" w:cs="Libre Franklin" w:eastAsia="Libre Franklin" w:hAnsi="Libre Franklin"/>
                <w:sz w:val="20"/>
                <w:szCs w:val="20"/>
              </w:rPr>
            </w:pPr>
            <w:hyperlink r:id="rId11">
              <w:r w:rsidDel="00000000" w:rsidR="00000000" w:rsidRPr="00000000">
                <w:rPr>
                  <w:color w:val="0000ee"/>
                  <w:u w:val="single"/>
                  <w:shd w:fill="auto" w:val="clear"/>
                  <w:rtl w:val="0"/>
                </w:rPr>
                <w:t xml:space="preserve">SEND Graduated Response Tracker</w:t>
              </w:r>
            </w:hyperlink>
            <w:r w:rsidDel="00000000" w:rsidR="00000000" w:rsidRPr="00000000">
              <w:rPr>
                <w:rtl w:val="0"/>
              </w:rPr>
            </w:r>
          </w:p>
          <w:p w:rsidR="00000000" w:rsidDel="00000000" w:rsidP="00000000" w:rsidRDefault="00000000" w:rsidRPr="00000000" w14:paraId="00000034">
            <w:pPr>
              <w:widowControl w:val="0"/>
              <w:spacing w:line="240" w:lineRule="auto"/>
              <w:rPr>
                <w:rFonts w:ascii="Libre Franklin" w:cs="Libre Franklin" w:eastAsia="Libre Franklin" w:hAnsi="Libre Franklin"/>
                <w:sz w:val="20"/>
                <w:szCs w:val="20"/>
              </w:rPr>
            </w:pPr>
            <w:hyperlink r:id="rId12">
              <w:r w:rsidDel="00000000" w:rsidR="00000000" w:rsidRPr="00000000">
                <w:rPr>
                  <w:color w:val="0000ee"/>
                  <w:u w:val="single"/>
                  <w:shd w:fill="auto" w:val="clear"/>
                  <w:rtl w:val="0"/>
                </w:rPr>
                <w:t xml:space="preserve">SEND Monitoring</w:t>
              </w:r>
            </w:hyperlink>
            <w:r w:rsidDel="00000000" w:rsidR="00000000" w:rsidRPr="00000000">
              <w:rPr>
                <w:rFonts w:ascii="Libre Franklin" w:cs="Libre Franklin" w:eastAsia="Libre Franklin" w:hAnsi="Libre Franklin"/>
                <w:sz w:val="20"/>
                <w:szCs w:val="20"/>
                <w:rtl w:val="0"/>
              </w:rPr>
              <w:t xml:space="preserve"> </w:t>
            </w:r>
          </w:p>
          <w:p w:rsidR="00000000" w:rsidDel="00000000" w:rsidP="00000000" w:rsidRDefault="00000000" w:rsidRPr="00000000" w14:paraId="00000035">
            <w:pPr>
              <w:widowControl w:val="0"/>
              <w:spacing w:line="240" w:lineRule="auto"/>
              <w:rPr>
                <w:rFonts w:ascii="Libre Franklin" w:cs="Libre Franklin" w:eastAsia="Libre Franklin" w:hAnsi="Libre Franklin"/>
                <w:sz w:val="20"/>
                <w:szCs w:val="20"/>
              </w:rPr>
            </w:pPr>
            <w:hyperlink r:id="rId13">
              <w:r w:rsidDel="00000000" w:rsidR="00000000" w:rsidRPr="00000000">
                <w:rPr>
                  <w:color w:val="0000ee"/>
                  <w:u w:val="single"/>
                  <w:shd w:fill="auto" w:val="clear"/>
                  <w:rtl w:val="0"/>
                </w:rPr>
                <w:t xml:space="preserve">Millbay Academy SEND Information Report September 2023-</w:t>
              </w:r>
            </w:hyperlink>
            <w:r w:rsidDel="00000000" w:rsidR="00000000" w:rsidRPr="00000000">
              <w:rPr>
                <w:rtl w:val="0"/>
              </w:rPr>
            </w:r>
          </w:p>
          <w:p w:rsidR="00000000" w:rsidDel="00000000" w:rsidP="00000000" w:rsidRDefault="00000000" w:rsidRPr="00000000" w14:paraId="00000036">
            <w:pPr>
              <w:widowControl w:val="0"/>
              <w:spacing w:line="240" w:lineRule="auto"/>
              <w:rPr>
                <w:rFonts w:ascii="Libre Franklin" w:cs="Libre Franklin" w:eastAsia="Libre Franklin" w:hAnsi="Libre Franklin"/>
                <w:sz w:val="20"/>
                <w:szCs w:val="20"/>
              </w:rPr>
            </w:pPr>
            <w:hyperlink r:id="rId14">
              <w:r w:rsidDel="00000000" w:rsidR="00000000" w:rsidRPr="00000000">
                <w:rPr>
                  <w:color w:val="0000ee"/>
                  <w:u w:val="single"/>
                  <w:shd w:fill="auto" w:val="clear"/>
                  <w:rtl w:val="0"/>
                </w:rPr>
                <w:t xml:space="preserve">RSAT-SEND-Policy September 2023.docx</w:t>
              </w:r>
            </w:hyperlink>
            <w:r w:rsidDel="00000000" w:rsidR="00000000" w:rsidRPr="00000000">
              <w:rPr>
                <w:rtl w:val="0"/>
              </w:rPr>
            </w:r>
          </w:p>
          <w:p w:rsidR="00000000" w:rsidDel="00000000" w:rsidP="00000000" w:rsidRDefault="00000000" w:rsidRPr="00000000" w14:paraId="00000037">
            <w:pPr>
              <w:widowControl w:val="0"/>
              <w:spacing w:line="240" w:lineRule="auto"/>
              <w:rPr>
                <w:rFonts w:ascii="Libre Franklin" w:cs="Libre Franklin" w:eastAsia="Libre Franklin" w:hAnsi="Libre Franklin"/>
                <w:sz w:val="20"/>
                <w:szCs w:val="20"/>
              </w:rPr>
            </w:pPr>
            <w:hyperlink r:id="rId15">
              <w:r w:rsidDel="00000000" w:rsidR="00000000" w:rsidRPr="00000000">
                <w:rPr>
                  <w:color w:val="0000ee"/>
                  <w:u w:val="single"/>
                  <w:shd w:fill="auto" w:val="clear"/>
                  <w:rtl w:val="0"/>
                </w:rPr>
                <w:t xml:space="preserve">Nurture Pathway</w:t>
              </w:r>
            </w:hyperlink>
            <w:r w:rsidDel="00000000" w:rsidR="00000000" w:rsidRPr="00000000">
              <w:rPr>
                <w:rtl w:val="0"/>
              </w:rPr>
            </w:r>
          </w:p>
          <w:p w:rsidR="00000000" w:rsidDel="00000000" w:rsidP="00000000" w:rsidRDefault="00000000" w:rsidRPr="00000000" w14:paraId="00000038">
            <w:pPr>
              <w:widowControl w:val="0"/>
              <w:spacing w:line="240" w:lineRule="auto"/>
              <w:rPr>
                <w:rFonts w:ascii="Libre Franklin" w:cs="Libre Franklin" w:eastAsia="Libre Franklin" w:hAnsi="Libre Franklin"/>
                <w:sz w:val="20"/>
                <w:szCs w:val="20"/>
              </w:rPr>
            </w:pPr>
            <w:hyperlink r:id="rId16">
              <w:r w:rsidDel="00000000" w:rsidR="00000000" w:rsidRPr="00000000">
                <w:rPr>
                  <w:color w:val="0000ee"/>
                  <w:u w:val="single"/>
                  <w:shd w:fill="auto" w:val="clear"/>
                  <w:rtl w:val="0"/>
                </w:rPr>
                <w:t xml:space="preserve">Progress Support Hub</w:t>
              </w:r>
            </w:hyperlink>
            <w:r w:rsidDel="00000000" w:rsidR="00000000" w:rsidRPr="00000000">
              <w:rPr>
                <w:rtl w:val="0"/>
              </w:rPr>
            </w:r>
          </w:p>
          <w:p w:rsidR="00000000" w:rsidDel="00000000" w:rsidP="00000000" w:rsidRDefault="00000000" w:rsidRPr="00000000" w14:paraId="00000039">
            <w:pPr>
              <w:widowControl w:val="0"/>
              <w:spacing w:line="240" w:lineRule="auto"/>
              <w:rPr>
                <w:rFonts w:ascii="Libre Franklin" w:cs="Libre Franklin" w:eastAsia="Libre Franklin" w:hAnsi="Libre Franklin"/>
                <w:sz w:val="20"/>
                <w:szCs w:val="20"/>
              </w:rPr>
            </w:pPr>
            <w:hyperlink r:id="rId17">
              <w:r w:rsidDel="00000000" w:rsidR="00000000" w:rsidRPr="00000000">
                <w:rPr>
                  <w:color w:val="0000ee"/>
                  <w:u w:val="single"/>
                  <w:shd w:fill="auto" w:val="clear"/>
                  <w:rtl w:val="0"/>
                </w:rPr>
                <w:t xml:space="preserve">Curriculum Adaptations All Subjects.pptx</w:t>
              </w:r>
            </w:hyperlink>
            <w:r w:rsidDel="00000000" w:rsidR="00000000" w:rsidRPr="00000000">
              <w:rPr>
                <w:rtl w:val="0"/>
              </w:rPr>
            </w:r>
          </w:p>
          <w:p w:rsidR="00000000" w:rsidDel="00000000" w:rsidP="00000000" w:rsidRDefault="00000000" w:rsidRPr="00000000" w14:paraId="0000003A">
            <w:pPr>
              <w:widowControl w:val="0"/>
              <w:spacing w:line="240" w:lineRule="auto"/>
              <w:rPr>
                <w:rFonts w:ascii="Libre Franklin" w:cs="Libre Franklin" w:eastAsia="Libre Franklin" w:hAnsi="Libre Franklin"/>
                <w:sz w:val="20"/>
                <w:szCs w:val="20"/>
              </w:rPr>
            </w:pPr>
            <w:hyperlink r:id="rId18">
              <w:r w:rsidDel="00000000" w:rsidR="00000000" w:rsidRPr="00000000">
                <w:rPr>
                  <w:color w:val="0000ee"/>
                  <w:u w:val="single"/>
                  <w:shd w:fill="auto" w:val="clear"/>
                  <w:rtl w:val="0"/>
                </w:rPr>
                <w:t xml:space="preserve">SEND CPD 2023/2024</w:t>
              </w:r>
            </w:hyperlink>
            <w:r w:rsidDel="00000000" w:rsidR="00000000" w:rsidRPr="00000000">
              <w:rPr>
                <w:rtl w:val="0"/>
              </w:rPr>
            </w:r>
          </w:p>
          <w:p w:rsidR="00000000" w:rsidDel="00000000" w:rsidP="00000000" w:rsidRDefault="00000000" w:rsidRPr="00000000" w14:paraId="0000003B">
            <w:pPr>
              <w:widowControl w:val="0"/>
              <w:spacing w:line="24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C">
            <w:pPr>
              <w:widowControl w:val="0"/>
              <w:spacing w:line="240" w:lineRule="auto"/>
              <w:rPr>
                <w:rFonts w:ascii="Libre Franklin" w:cs="Libre Franklin" w:eastAsia="Libre Franklin" w:hAnsi="Libre Frankli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b w:val="1"/>
                <w:sz w:val="20"/>
                <w:szCs w:val="20"/>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jc w:val="center"/>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u w:val="single"/>
                <w:rtl w:val="0"/>
              </w:rPr>
              <w:t xml:space="preserve">Impact </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0" w:firstLine="0"/>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40">
            <w:pPr>
              <w:widowControl w:val="0"/>
              <w:numPr>
                <w:ilvl w:val="0"/>
                <w:numId w:val="1"/>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Pupils are happy, safe and nurtured within school.</w:t>
            </w:r>
          </w:p>
          <w:p w:rsidR="00000000" w:rsidDel="00000000" w:rsidP="00000000" w:rsidRDefault="00000000" w:rsidRPr="00000000" w14:paraId="00000041">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Children have a voice and feel heard – they are involved in decisions made about themselves</w:t>
            </w:r>
          </w:p>
          <w:p w:rsidR="00000000" w:rsidDel="00000000" w:rsidP="00000000" w:rsidRDefault="00000000" w:rsidRPr="00000000" w14:paraId="00000042">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Staff are empathic, supportive and compassionate and create effective learning opportunities for all</w:t>
            </w:r>
          </w:p>
          <w:p w:rsidR="00000000" w:rsidDel="00000000" w:rsidP="00000000" w:rsidRDefault="00000000" w:rsidRPr="00000000" w14:paraId="00000043">
            <w:pPr>
              <w:widowControl w:val="0"/>
              <w:numPr>
                <w:ilvl w:val="0"/>
                <w:numId w:val="1"/>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Positive relationships are formed between staff and pupils through mutual respect and a true understanding of the child as a whole.</w:t>
            </w:r>
          </w:p>
          <w:p w:rsidR="00000000" w:rsidDel="00000000" w:rsidP="00000000" w:rsidRDefault="00000000" w:rsidRPr="00000000" w14:paraId="00000044">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Parents feel listened to, supported and play an important role in decision making about their child</w:t>
            </w:r>
          </w:p>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Early intervention means that we can close emerging gaps early and/or identify needs and implement support quickly</w:t>
            </w:r>
          </w:p>
          <w:p w:rsidR="00000000" w:rsidDel="00000000" w:rsidP="00000000" w:rsidRDefault="00000000" w:rsidRPr="00000000" w14:paraId="00000046">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Support is implemented as early as possible to have the greatest impact.</w:t>
            </w:r>
          </w:p>
          <w:p w:rsidR="00000000" w:rsidDel="00000000" w:rsidP="00000000" w:rsidRDefault="00000000" w:rsidRPr="00000000" w14:paraId="00000047">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Interventions are tracked each term and progress is closely monitored to evaluate the impact it is having. Through Assess, Plan, Do, Review, alternative interventions or levels of support are implemented when necessary.</w:t>
            </w:r>
          </w:p>
          <w:p w:rsidR="00000000" w:rsidDel="00000000" w:rsidP="00000000" w:rsidRDefault="00000000" w:rsidRPr="00000000" w14:paraId="00000048">
            <w:pPr>
              <w:widowControl w:val="0"/>
              <w:numPr>
                <w:ilvl w:val="0"/>
                <w:numId w:val="1"/>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SEND support plans (pen portraits) are reviewed each term.</w:t>
            </w:r>
          </w:p>
          <w:p w:rsidR="00000000" w:rsidDel="00000000" w:rsidP="00000000" w:rsidRDefault="00000000" w:rsidRPr="00000000" w14:paraId="00000049">
            <w:pPr>
              <w:widowControl w:val="0"/>
              <w:numPr>
                <w:ilvl w:val="0"/>
                <w:numId w:val="1"/>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Staff feel knowledgeable and informed about the needs of their pupils and how best to support them – they ask for help when they need it and the SENDCo ensures they are fully supported through CPD and thorough discussions.</w:t>
            </w:r>
          </w:p>
          <w:p w:rsidR="00000000" w:rsidDel="00000000" w:rsidP="00000000" w:rsidRDefault="00000000" w:rsidRPr="00000000" w14:paraId="0000004A">
            <w:pPr>
              <w:widowControl w:val="0"/>
              <w:numPr>
                <w:ilvl w:val="0"/>
                <w:numId w:val="1"/>
              </w:numPr>
              <w:spacing w:line="240" w:lineRule="auto"/>
              <w:ind w:left="720" w:hanging="360"/>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Pupils leave Millbay Academy  with the tools to be independent and resilient. KS5 establishments are made aware of the needs of the pupil and the best way to support them whenever necessary.</w:t>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headerReference r:id="rId19" w:type="default"/>
      <w:pgSz w:h="16834" w:w="11909" w:orient="portrait"/>
      <w:pgMar w:bottom="1440" w:top="56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jc w:val="center"/>
      <w:rPr>
        <w:b w:val="1"/>
        <w:sz w:val="26"/>
        <w:szCs w:val="26"/>
      </w:rPr>
    </w:pPr>
    <w:r w:rsidDel="00000000" w:rsidR="00000000" w:rsidRPr="00000000">
      <w:rPr>
        <w:b w:val="1"/>
        <w:sz w:val="26"/>
        <w:szCs w:val="26"/>
        <w:rtl w:val="0"/>
      </w:rPr>
      <w:t xml:space="preserve">Relationships - Routines - Regulation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dIcJmVPMgXoYxeV4sfGFlslTFSc09xpIHFFQgxx9vSc/edit#gid=1368759925" TargetMode="External"/><Relationship Id="rId10" Type="http://schemas.openxmlformats.org/officeDocument/2006/relationships/hyperlink" Target="https://drive.google.com/drive/folders/0ALDehrZPzQlbUk9PVA" TargetMode="External"/><Relationship Id="rId13" Type="http://schemas.openxmlformats.org/officeDocument/2006/relationships/hyperlink" Target="https://docs.google.com/document/d/1Dirn1U7Jd5ncyYqZ75SMbx23ANxrC-x9YMw5QQ_ra3c/edit" TargetMode="External"/><Relationship Id="rId12" Type="http://schemas.openxmlformats.org/officeDocument/2006/relationships/hyperlink" Target="https://docs.google.com/spreadsheets/d/1k1y7On9NiSuq8UI01B9WM7sfJr0jFJ_yoD1BMaNYlUU/edit#gi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dlet.com/millbayacademy/welcome-to-the-send-padlet-8zcn210uk8qls139" TargetMode="External"/><Relationship Id="rId15" Type="http://schemas.openxmlformats.org/officeDocument/2006/relationships/hyperlink" Target="https://docs.google.com/document/d/1n6vVgVoBmd4WRxn_jxM2Z1PcYOv96xdEMeQopFoBcWg/edit#heading=h.5uif5wte5n0y" TargetMode="External"/><Relationship Id="rId14" Type="http://schemas.openxmlformats.org/officeDocument/2006/relationships/hyperlink" Target="https://docs.google.com/document/d/1p8-W77Ov2d__KbfqPNA8F5s3UKl6wTg1/edit" TargetMode="External"/><Relationship Id="rId17" Type="http://schemas.openxmlformats.org/officeDocument/2006/relationships/hyperlink" Target="https://docs.google.com/presentation/d/1t7MTLa-IRkcpVXBP45Qzf3KEmiky-Cwr/edit#slide=id.p3" TargetMode="External"/><Relationship Id="rId16" Type="http://schemas.openxmlformats.org/officeDocument/2006/relationships/hyperlink" Target="https://docs.google.com/document/d/1vCMk0qH3E-AVy9bIv_S67tZQwFwjhDKQl__OdWApHSc/edit"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docs.google.com/document/d/1CJ8z6BRMY561ue6lTxPu06TFe4cRVuVhclGr0M06viE/edit" TargetMode="External"/><Relationship Id="rId7" Type="http://schemas.openxmlformats.org/officeDocument/2006/relationships/image" Target="media/image1.jpg"/><Relationship Id="rId8" Type="http://schemas.openxmlformats.org/officeDocument/2006/relationships/hyperlink" Target="https://sites.google.com/millbayacademy.org/inclusionplatform/ho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0nmkTQTq4f/ndhmSFKUKRs4tjg==">CgMxLjA4AHIhMWNVWXExbWFTMXVwZFFJUmFiYUJVdmNkamtvaXVuVFVD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2023-03-25T12:46:00Z</dcterms:created>
</cp:coreProperties>
</file>