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7760.0" w:type="dxa"/>
        <w:jc w:val="left"/>
        <w:tblInd w:w="-963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3600"/>
        <w:gridCol w:w="2460"/>
        <w:gridCol w:w="2415"/>
        <w:gridCol w:w="2235"/>
        <w:gridCol w:w="7050"/>
        <w:tblGridChange w:id="0">
          <w:tblGrid>
            <w:gridCol w:w="3600"/>
            <w:gridCol w:w="2460"/>
            <w:gridCol w:w="2415"/>
            <w:gridCol w:w="2235"/>
            <w:gridCol w:w="7050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vAlign w:val="center"/>
          </w:tcPr>
          <w:p w:rsidR="00000000" w:rsidDel="00000000" w:rsidP="00000000" w:rsidRDefault="00000000" w:rsidRPr="00000000" w14:paraId="00000002">
            <w:pPr>
              <w:ind w:right="5927.952755905513"/>
              <w:jc w:val="center"/>
              <w:rPr>
                <w:rFonts w:ascii="Arial" w:cs="Arial" w:eastAsia="Arial" w:hAnsi="Arial"/>
                <w:b w:val="0"/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vertAlign w:val="baseline"/>
                <w:rtl w:val="0"/>
              </w:rPr>
              <w:t xml:space="preserve">Learning walk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Member(s) of staff observed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spacing w:after="72" w:lineRule="auto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Observer(s)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spacing w:after="72" w:lineRule="auto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Date and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spacing w:after="72" w:lineRule="auto"/>
              <w:jc w:val="center"/>
              <w:rPr>
                <w:rFonts w:ascii="Arial" w:cs="Arial" w:eastAsia="Arial" w:hAnsi="Arial"/>
                <w:i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Subject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spacing w:after="72" w:lineRule="auto"/>
              <w:jc w:val="center"/>
              <w:rPr>
                <w:rFonts w:ascii="Arial" w:cs="Arial" w:eastAsia="Arial" w:hAnsi="Arial"/>
                <w:i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after="72" w:lineRule="auto"/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Year/Class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72" w:lineRule="auto"/>
              <w:jc w:val="center"/>
              <w:rPr>
                <w:rFonts w:ascii="Arial" w:cs="Arial" w:eastAsia="Arial" w:hAnsi="Arial"/>
                <w:i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vAlign w:val="center"/>
          </w:tcPr>
          <w:p w:rsidR="00000000" w:rsidDel="00000000" w:rsidP="00000000" w:rsidRDefault="00000000" w:rsidRPr="00000000" w14:paraId="0000001B">
            <w:pPr>
              <w:spacing w:after="72" w:lineRule="auto"/>
              <w:ind w:right="6069.68503937008"/>
              <w:jc w:val="center"/>
              <w:rPr>
                <w:rFonts w:ascii="Arial" w:cs="Arial" w:eastAsia="Arial" w:hAnsi="Arial"/>
                <w:b w:val="0"/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vertAlign w:val="baseline"/>
                <w:rtl w:val="0"/>
              </w:rPr>
              <w:t xml:space="preserve">Focus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numPr>
                <w:ilvl w:val="0"/>
                <w:numId w:val="5"/>
              </w:numPr>
              <w:spacing w:after="72" w:lineRule="auto"/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High-quality provision for pupils with special educational needs (SEND)</w:t>
            </w:r>
          </w:p>
          <w:p w:rsidR="00000000" w:rsidDel="00000000" w:rsidP="00000000" w:rsidRDefault="00000000" w:rsidRPr="00000000" w14:paraId="00000021">
            <w:pPr>
              <w:spacing w:after="72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5"/>
              </w:numPr>
              <w:spacing w:after="72" w:before="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EEF 5 a day</w:t>
            </w:r>
          </w:p>
          <w:p w:rsidR="00000000" w:rsidDel="00000000" w:rsidP="00000000" w:rsidRDefault="00000000" w:rsidRPr="00000000" w14:paraId="00000023">
            <w:pPr>
              <w:spacing w:after="72" w:before="0" w:lineRule="auto"/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5"/>
              </w:numPr>
              <w:spacing w:after="72" w:before="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Classroom environment: sensory audit, dyslexia-friendly, Relational Policy/Nurture</w:t>
            </w:r>
          </w:p>
          <w:p w:rsidR="00000000" w:rsidDel="00000000" w:rsidP="00000000" w:rsidRDefault="00000000" w:rsidRPr="00000000" w14:paraId="00000025">
            <w:pPr>
              <w:spacing w:after="72" w:before="0" w:lineRule="auto"/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after="72" w:lineRule="auto"/>
              <w:rPr>
                <w:rFonts w:ascii="Arial" w:cs="Arial" w:eastAsia="Arial" w:hAnsi="Arial"/>
                <w:i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vAlign w:val="center"/>
          </w:tcPr>
          <w:p w:rsidR="00000000" w:rsidDel="00000000" w:rsidP="00000000" w:rsidRDefault="00000000" w:rsidRPr="00000000" w14:paraId="0000002F">
            <w:pPr>
              <w:ind w:right="6920.078740157482"/>
              <w:jc w:val="center"/>
              <w:rPr>
                <w:rFonts w:ascii="Arial" w:cs="Arial" w:eastAsia="Arial" w:hAnsi="Arial"/>
                <w:b w:val="0"/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vertAlign w:val="baseline"/>
                <w:rtl w:val="0"/>
              </w:rPr>
              <w:t xml:space="preserve">Engagement with learning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Do pupils on the SEND register show engagement with learning?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Do pupils have enough resources/HQT strategies to enable them to engage with learning?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Are staff actively addressing any barriers to engagement?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Where appropriate, are pupils working from a personalised curriculum? </w:t>
            </w:r>
          </w:p>
          <w:p w:rsidR="00000000" w:rsidDel="00000000" w:rsidP="00000000" w:rsidRDefault="00000000" w:rsidRPr="00000000" w14:paraId="00000038">
            <w:pPr>
              <w:ind w:left="72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Additional comments 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b w:val="0"/>
                <w:color w:val="ffffff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vertAlign w:val="baseline"/>
                <w:rtl w:val="0"/>
              </w:rPr>
              <w:t xml:space="preserve">Pupil views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Do pupils feel they are well supported?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Do pupils feel that work has been well adapted for their needs?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Do pupils have an understanding of what they need to work on and what they do well?</w:t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Additional comments </w:t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left="36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left="36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ind w:left="360" w:firstLine="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left="360" w:firstLine="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vertAlign w:val="baseline"/>
                <w:rtl w:val="0"/>
              </w:rPr>
              <w:t xml:space="preserve">Teaching approaches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Is teaching adapted according to individual learning needs?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Is there evidence that lesson plans/ teaching cater for provision identified in education health and care plans?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Are inclusion strategies and high-quality teaching being used effectively?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Are whole-school universal inclusive approaches being used effectively? 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Are pupils given opportunities to develop independence?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Are pupils able to access scaffolding for tasks such as word mats? </w:t>
            </w:r>
          </w:p>
          <w:p w:rsidR="00000000" w:rsidDel="00000000" w:rsidP="00000000" w:rsidRDefault="00000000" w:rsidRPr="00000000" w14:paraId="00000074">
            <w:pPr>
              <w:ind w:left="720" w:firstLine="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Additional comments</w:t>
            </w:r>
          </w:p>
          <w:p w:rsidR="00000000" w:rsidDel="00000000" w:rsidP="00000000" w:rsidRDefault="00000000" w:rsidRPr="00000000" w14:paraId="00000077">
            <w:pPr>
              <w:ind w:left="72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ind w:left="72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ind w:left="72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vertAlign w:val="baseline"/>
                <w:rtl w:val="0"/>
              </w:rPr>
              <w:t xml:space="preserve">Support staff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8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How are additional support staff being used?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Is this enabling pupils with SEND to become effective learners?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Do pupils have access to a learning mentor if needed?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Do support staff feel they need further resources or training? </w:t>
            </w:r>
          </w:p>
          <w:p w:rsidR="00000000" w:rsidDel="00000000" w:rsidP="00000000" w:rsidRDefault="00000000" w:rsidRPr="00000000" w14:paraId="0000008C">
            <w:pPr>
              <w:ind w:left="720" w:firstLine="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Additional comments:</w:t>
            </w:r>
          </w:p>
          <w:p w:rsidR="00000000" w:rsidDel="00000000" w:rsidP="00000000" w:rsidRDefault="00000000" w:rsidRPr="00000000" w14:paraId="0000008E">
            <w:pPr>
              <w:ind w:left="72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ind w:left="72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ind w:left="72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ind w:left="72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b w:val="0"/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vertAlign w:val="baseline"/>
                <w:rtl w:val="0"/>
              </w:rPr>
              <w:t xml:space="preserve">Learning environment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2">
            <w:pPr>
              <w:numPr>
                <w:ilvl w:val="0"/>
                <w:numId w:val="6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Classroom displays support learning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6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Displays reflect the work of all pupils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6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Scaffolds and prompts for learning are visible in the classroom (e.g. work lists, instruction checklists, visual timetables)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6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There are supportive resources and equipment available (e.g. manipulative maths equipment, communication support)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6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There is sufficient lighting and ventilation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6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Pupils can move around the classroom safely 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6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The environment is emotionally safe and pupils can take risks and make mistakes in their learning</w:t>
            </w:r>
          </w:p>
          <w:p w:rsidR="00000000" w:rsidDel="00000000" w:rsidP="00000000" w:rsidRDefault="00000000" w:rsidRPr="00000000" w14:paraId="000000A9">
            <w:pPr>
              <w:ind w:left="720" w:firstLine="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Additional comments:</w:t>
            </w:r>
          </w:p>
          <w:p w:rsidR="00000000" w:rsidDel="00000000" w:rsidP="00000000" w:rsidRDefault="00000000" w:rsidRPr="00000000" w14:paraId="000000AB">
            <w:pPr>
              <w:ind w:left="72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C">
            <w:pPr>
              <w:ind w:left="72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ind w:left="72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ind w:left="72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ind w:left="72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ind w:left="72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ind w:left="72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ind w:left="72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ind w:left="72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48.0" w:type="dxa"/>
        <w:jc w:val="left"/>
        <w:tblInd w:w="-108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4920"/>
        <w:gridCol w:w="4928"/>
        <w:tblGridChange w:id="0">
          <w:tblGrid>
            <w:gridCol w:w="4920"/>
            <w:gridCol w:w="4928"/>
          </w:tblGrid>
        </w:tblGridChange>
      </w:tblGrid>
      <w:tr>
        <w:trPr>
          <w:cantSplit w:val="0"/>
          <w:trHeight w:val="4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b w:val="0"/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vertAlign w:val="baseline"/>
                <w:rtl w:val="0"/>
              </w:rPr>
              <w:t xml:space="preserve">Summary of learning walk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Areas which are going well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Areas for development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3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Next steps:</w:t>
            </w:r>
          </w:p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pStyle w:val="Heading1"/>
        <w:shd w:fill="ffffff" w:val="clear"/>
        <w:spacing w:after="161" w:before="120" w:lineRule="auto"/>
        <w:rPr>
          <w:i w:val="0"/>
          <w:color w:val="000000"/>
          <w:sz w:val="20"/>
          <w:szCs w:val="20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1134" w:top="2552" w:left="1134" w:right="1134" w:header="624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Arial"/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a59c87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leftMargin">
            <wp:align>center</wp:align>
          </wp:positionH>
          <wp:positionV relativeFrom="topMargin">
            <wp:align>center</wp:align>
          </wp:positionV>
          <wp:extent cx="7558405" cy="1069594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8405" cy="10695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595.0pt;height:842.0pt;rotation:0;z-index:-503316481;mso-position-horizontal-relative:left-margin-area;mso-position-horizontal:center;mso-position-vertical-relative:top-margin-area;mso-position-vertical:center;" alt="" type="#_x0000_t75">
          <v:imagedata cropbottom="0f" cropleft="0f" cropright="0f" croptop="0f" r:id="rId2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3">
    <w:pPr>
      <w:rPr>
        <w:b w:val="1"/>
      </w:rPr>
    </w:pPr>
    <w:r w:rsidDel="00000000" w:rsidR="00000000" w:rsidRPr="00000000">
      <w:rPr>
        <w:b w:val="1"/>
      </w:rPr>
      <w:drawing>
        <wp:inline distB="114300" distT="114300" distL="114300" distR="114300">
          <wp:extent cx="1443371" cy="1858729"/>
          <wp:effectExtent b="0" l="0" r="0" t="0"/>
          <wp:docPr id="2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3371" cy="18587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rPr>
        <w:rFonts w:ascii="Cambria" w:cs="Cambria" w:eastAsia="Cambria" w:hAnsi="Cambria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b w:val="1"/>
        <w:sz w:val="28"/>
        <w:szCs w:val="28"/>
        <w:rtl w:val="0"/>
      </w:rPr>
      <w:t xml:space="preserve">SEND Department learning walks</w:t>
    </w:r>
    <w:r w:rsidDel="00000000" w:rsidR="00000000" w:rsidRPr="00000000">
      <w:rPr>
        <w:rFonts w:ascii="Cambria" w:cs="Cambria" w:eastAsia="Cambria" w:hAnsi="Cambria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1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rPr>
        <w:b w:val="1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200" w:line="276" w:lineRule="auto"/>
    </w:pPr>
    <w:rPr>
      <w:rFonts w:ascii="Arial" w:cs="Arial" w:eastAsia="Arial" w:hAnsi="Arial"/>
      <w:color w:val="0085cf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4f81bd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Calibri" w:hAnsi="Arial"/>
      <w:color w:val="0085cf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en-GB"/>
    </w:rPr>
  </w:style>
  <w:style w:type="paragraph" w:styleId="Heading2">
    <w:name w:val="Heading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libri Light" w:eastAsia="Times New Roman" w:hAnsi="Calibri Light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before="200" w:line="1" w:lineRule="atLeast"/>
      <w:ind w:leftChars="-1" w:rightChars="0" w:firstLineChars="-1"/>
      <w:textDirection w:val="btLr"/>
      <w:textAlignment w:val="top"/>
      <w:outlineLvl w:val="2"/>
    </w:pPr>
    <w:rPr>
      <w:rFonts w:ascii="Calibri" w:eastAsia="MS Gothic" w:hAnsi="Calibri"/>
      <w:b w:val="1"/>
      <w:bCs w:val="1"/>
      <w:color w:val="4f81bd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[BasicParagraph]">
    <w:name w:val="[Basic Paragraph]"/>
    <w:basedOn w:val="Normal"/>
    <w:next w:val="[BasicParagraph]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288" w:lineRule="auto"/>
      <w:ind w:leftChars="-1" w:rightChars="0" w:firstLineChars="-1"/>
      <w:textDirection w:val="btLr"/>
      <w:textAlignment w:val="center"/>
      <w:outlineLvl w:val="0"/>
    </w:pPr>
    <w:rPr>
      <w:rFonts w:ascii="MinionPro-Regular" w:cs="MinionPro-Regular" w:hAnsi="MinionPro-Regular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1Char">
    <w:name w:val="Heading 1 Char"/>
    <w:next w:val="Heading1Char"/>
    <w:autoRedefine w:val="0"/>
    <w:hidden w:val="0"/>
    <w:qFormat w:val="0"/>
    <w:rPr>
      <w:rFonts w:ascii="Arial" w:cs="Arial" w:eastAsia="Calibri" w:hAnsi="Arial"/>
      <w:color w:val="0085cf"/>
      <w:w w:val="100"/>
      <w:position w:val="-1"/>
      <w:sz w:val="36"/>
      <w:szCs w:val="36"/>
      <w:effect w:val="none"/>
      <w:vertAlign w:val="baseline"/>
      <w:cs w:val="0"/>
      <w:em w:val="none"/>
      <w:lang w:val="en-GB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Heading3Char">
    <w:name w:val="Heading 3 Char"/>
    <w:next w:val="Heading3Char"/>
    <w:autoRedefine w:val="0"/>
    <w:hidden w:val="0"/>
    <w:qFormat w:val="0"/>
    <w:rPr>
      <w:rFonts w:ascii="Calibri" w:cs="Times New Roman" w:eastAsia="MS Gothic" w:hAnsi="Calibri"/>
      <w:b w:val="1"/>
      <w:bCs w:val="1"/>
      <w:color w:val="4f81bd"/>
      <w:w w:val="100"/>
      <w:position w:val="-1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libri Light" w:cs="Times New Roman" w:eastAsia="Times New Roman" w:hAnsi="Calibri Light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en-US" w:val="en-US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90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ext">
    <w:name w:val="Text"/>
    <w:basedOn w:val="BodyText"/>
    <w:next w:val="Text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TextChar">
    <w:name w:val="Text Char"/>
    <w:next w:val="TextChar"/>
    <w:autoRedefine w:val="0"/>
    <w:hidden w:val="0"/>
    <w:qFormat w:val="0"/>
    <w:rPr>
      <w:rFonts w:ascii="Arial" w:cs="Arial" w:hAnsi="Arial"/>
      <w:w w:val="100"/>
      <w:position w:val="-1"/>
      <w:effect w:val="none"/>
      <w:vertAlign w:val="baseline"/>
      <w:cs w:val="0"/>
      <w:em w:val="none"/>
      <w:lang w:eastAsia="en-US" w:val="en-US"/>
    </w:rPr>
  </w:style>
  <w:style w:type="paragraph" w:styleId="BodyText">
    <w:name w:val="Body Text"/>
    <w:basedOn w:val="Normal"/>
    <w:next w:val="BodyText"/>
    <w:autoRedefine w:val="0"/>
    <w:hidden w:val="0"/>
    <w:qFormat w:val="1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BodyTextChar">
    <w:name w:val="Body Text Char"/>
    <w:next w:val="BodyText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paragraph" w:styleId="Heading">
    <w:name w:val="Heading"/>
    <w:basedOn w:val="BodyText"/>
    <w:next w:val="Heading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ingChar">
    <w:name w:val="Heading Char"/>
    <w:next w:val="HeadingChar"/>
    <w:autoRedefine w:val="0"/>
    <w:hidden w:val="0"/>
    <w:qFormat w:val="0"/>
    <w:rPr>
      <w:rFonts w:ascii="Arial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paragraph" w:styleId="Sub-heading">
    <w:name w:val="Sub-heading"/>
    <w:basedOn w:val="BodyText"/>
    <w:next w:val="Sub-heading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Sub-headingChar">
    <w:name w:val="Sub-heading Char"/>
    <w:next w:val="Sub-headingChar"/>
    <w:autoRedefine w:val="0"/>
    <w:hidden w:val="0"/>
    <w:qFormat w:val="0"/>
    <w:rPr>
      <w:rFonts w:ascii="Arial" w:cs="Arial" w:hAnsi="Arial"/>
      <w:b w:val="1"/>
      <w:w w:val="100"/>
      <w:position w:val="-1"/>
      <w:effect w:val="none"/>
      <w:vertAlign w:val="baseline"/>
      <w:cs w:val="0"/>
      <w:em w:val="none"/>
      <w:lang w:eastAsia="en-US" w:val="en-US"/>
    </w:rPr>
  </w:style>
  <w:style w:type="paragraph" w:styleId="TableHeading">
    <w:name w:val="TableHeading"/>
    <w:basedOn w:val="Text"/>
    <w:next w:val="TableHeading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color w:val="ffffff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TableHeadingChar">
    <w:name w:val="TableHeading Char"/>
    <w:next w:val="TableHeadingChar"/>
    <w:autoRedefine w:val="0"/>
    <w:hidden w:val="0"/>
    <w:qFormat w:val="0"/>
    <w:rPr>
      <w:rFonts w:ascii="Arial" w:cs="Arial" w:hAnsi="Arial"/>
      <w:b w:val="1"/>
      <w:color w:val="ffffff"/>
      <w:w w:val="100"/>
      <w:position w:val="-1"/>
      <w:effect w:val="none"/>
      <w:vertAlign w:val="baseline"/>
      <w:cs w:val="0"/>
      <w:em w:val="none"/>
      <w:lang w:eastAsia="en-US" w:val="en-US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le,TableBody">
    <w:name w:val="Title,Table Body"/>
    <w:basedOn w:val="Normal"/>
    <w:next w:val="Normal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eastAsia="Calibri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und"/>
    </w:rPr>
  </w:style>
  <w:style w:type="character" w:styleId="TitleChar,TableBodyChar">
    <w:name w:val="Title Char,Table Body Char"/>
    <w:next w:val="TitleChar,TableBodyChar"/>
    <w:autoRedefine w:val="0"/>
    <w:hidden w:val="0"/>
    <w:qFormat w:val="0"/>
    <w:rPr>
      <w:rFonts w:ascii="Arial" w:eastAsia="Calibri" w:hAnsi="Arial"/>
      <w:w w:val="100"/>
      <w:position w:val="-1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3.0" w:type="dxa"/>
        <w:left w:w="108.0" w:type="dxa"/>
        <w:bottom w:w="113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3.0" w:type="dxa"/>
        <w:left w:w="108.0" w:type="dxa"/>
        <w:bottom w:w="113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R15jd2BHE+Ufjke1tFIg9TGhFQ==">CgMxLjAyCGguZ2pkZ3hzOAByITFkYUs1M1Qyem5GR2dmOVpaTnNOSmdKamVneUhYUnNaZw==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2023-03-22T07:20:00Z</dcterms:created>
  <dc:creator>Imogen Rowley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str>d84f574025dd4ab109ba537cfd766fd5b3c1e54c5153b83a98dcfbcc33bb981d</vt:lpstr>
  </property>
</Properties>
</file>